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413CD4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09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>» февраля 2023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7B3A55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Мирненского с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ельского поселения от 30.12.2022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 №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бюджете Мирненского сельского поселения Дубовского района на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 и на плановый период 2024 и 2025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ления от 30.12.2022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73168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2023 год и на плановый период 2024 и 2025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BD3565">
        <w:rPr>
          <w:rFonts w:ascii="Times New Roman CYR" w:eastAsia="Times New Roman" w:hAnsi="Times New Roman CYR" w:cs="Times New Roman CYR"/>
          <w:sz w:val="24"/>
          <w:szCs w:val="24"/>
        </w:rPr>
        <w:t>6110,6» заменить цифрами «6717,7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1144D1" w:rsidRPr="003C1ED8" w:rsidRDefault="004410E0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</w:t>
      </w:r>
      <w:r w:rsidR="00F53AD2" w:rsidRPr="00F53AD2">
        <w:rPr>
          <w:rFonts w:ascii="Times New Roman CYR" w:eastAsia="Times New Roman" w:hAnsi="Times New Roman CYR" w:cs="Times New Roman CYR"/>
          <w:b/>
          <w:sz w:val="24"/>
          <w:szCs w:val="24"/>
        </w:rPr>
        <w:t>2)</w:t>
      </w:r>
      <w:r w:rsidR="00F53AD2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F53AD2">
        <w:rPr>
          <w:rFonts w:ascii="Times New Roman CYR" w:eastAsia="Times New Roman" w:hAnsi="Times New Roman CYR" w:cs="Times New Roman CYR"/>
          <w:sz w:val="24"/>
          <w:szCs w:val="24"/>
        </w:rPr>
        <w:t>подпункт 5</w:t>
      </w:r>
      <w:r w:rsidR="001144D1" w:rsidRPr="003C1ED8">
        <w:rPr>
          <w:rFonts w:ascii="Times New Roman CYR" w:eastAsia="Times New Roman" w:hAnsi="Times New Roman CYR" w:cs="Times New Roman CYR"/>
          <w:sz w:val="24"/>
          <w:szCs w:val="24"/>
        </w:rPr>
        <w:t xml:space="preserve"> изложить в новой редакции:</w:t>
      </w:r>
    </w:p>
    <w:p w:rsidR="001144D1" w:rsidRDefault="001144D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«прогнозируемый дефицит местного бюджета в сумме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65">
        <w:rPr>
          <w:rFonts w:ascii="Times New Roman" w:eastAsia="Times New Roman" w:hAnsi="Times New Roman" w:cs="Times New Roman"/>
          <w:b/>
          <w:sz w:val="24"/>
          <w:szCs w:val="24"/>
        </w:rPr>
        <w:t>607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D35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A84" w:rsidRDefault="00420A84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AD2" w:rsidRPr="00F53AD2" w:rsidRDefault="004410E0" w:rsidP="00F53AD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53A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0A84" w:rsidRPr="00F53A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3AD2" w:rsidRPr="00F53AD2">
        <w:rPr>
          <w:rFonts w:ascii="Times New Roman" w:eastAsia="Times New Roman" w:hAnsi="Times New Roman" w:cs="Times New Roman"/>
          <w:sz w:val="24"/>
          <w:szCs w:val="24"/>
        </w:rPr>
        <w:t>«13</w:t>
      </w:r>
      <w:r w:rsidR="00F53AD2" w:rsidRPr="00F53AD2">
        <w:rPr>
          <w:rFonts w:ascii="Times New Roman" w:eastAsia="Times New Roman" w:hAnsi="Times New Roman" w:cs="Calibri"/>
          <w:sz w:val="24"/>
          <w:szCs w:val="24"/>
        </w:rPr>
        <w:t xml:space="preserve">¹. </w:t>
      </w:r>
      <w:r w:rsidR="00F53AD2" w:rsidRPr="00F53AD2">
        <w:rPr>
          <w:rFonts w:ascii="Times New Roman" w:eastAsia="Times New Roman" w:hAnsi="Times New Roman" w:cs="Times New Roman"/>
          <w:sz w:val="24"/>
          <w:szCs w:val="24"/>
        </w:rPr>
        <w:t>Установить, что в 2023 году в соответствии со статьями 220.2 и 242.26 Бюджетного кодекса Российской Федерации</w:t>
      </w:r>
      <w:r w:rsidR="00F53AD2" w:rsidRPr="00F53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53AD2" w:rsidRPr="00F53AD2">
        <w:rPr>
          <w:rFonts w:ascii="Times New Roman" w:eastAsia="Times New Roman" w:hAnsi="Times New Roman" w:cs="Times New Roman"/>
          <w:sz w:val="24"/>
          <w:szCs w:val="24"/>
        </w:rPr>
        <w:t>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</w:t>
      </w:r>
      <w:r w:rsidR="002F4513">
        <w:rPr>
          <w:rFonts w:ascii="Times New Roman" w:eastAsia="Times New Roman" w:hAnsi="Times New Roman" w:cs="Times New Roman"/>
          <w:sz w:val="24"/>
          <w:szCs w:val="24"/>
        </w:rPr>
        <w:t>авляемые из бюджета Мирненского</w:t>
      </w:r>
      <w:r w:rsidR="00F53AD2" w:rsidRPr="00F53A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Дубовского района, на основании передачи отдельных фу</w:t>
      </w:r>
      <w:r w:rsidR="002F4513">
        <w:rPr>
          <w:rFonts w:ascii="Times New Roman" w:eastAsia="Times New Roman" w:hAnsi="Times New Roman" w:cs="Times New Roman"/>
          <w:sz w:val="24"/>
          <w:szCs w:val="24"/>
        </w:rPr>
        <w:t>нкций Администрации Мирненского</w:t>
      </w:r>
      <w:r w:rsidR="00F53AD2" w:rsidRPr="00F53A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Управлению Федерального казначейства по Ростовской области.</w:t>
      </w:r>
    </w:p>
    <w:p w:rsidR="00F53AD2" w:rsidRPr="00F53AD2" w:rsidRDefault="00F53AD2" w:rsidP="00F53A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Казначейскому сопровождению подлежат средства местного бюджета:</w:t>
      </w:r>
    </w:p>
    <w:p w:rsidR="00F53AD2" w:rsidRPr="00F53AD2" w:rsidRDefault="00F53AD2" w:rsidP="00F53A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а) авансы и расчеты по муниципальным контрактам, заключаемым на сумму более 1 000,0 тыс.  рублей;</w:t>
      </w:r>
    </w:p>
    <w:p w:rsidR="00F53AD2" w:rsidRPr="00F53AD2" w:rsidRDefault="00F53AD2" w:rsidP="00F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        б) авансы и расчеты по контрактам (договорам), заключаемым на сумму более 1 000,0 тыс.  рублей бюджетными и автономными учреждениями».</w:t>
      </w:r>
    </w:p>
    <w:p w:rsidR="00420A84" w:rsidRDefault="00420A84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56C" w:rsidRDefault="0032256C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F53AD2" w:rsidRDefault="00F53AD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F53AD2" w:rsidRDefault="00F53AD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</w:t>
      </w:r>
      <w:r w:rsidR="007B3A55">
        <w:rPr>
          <w:rFonts w:ascii="Times New Roman" w:hAnsi="Times New Roman"/>
          <w:b/>
          <w:bCs/>
          <w:iCs/>
        </w:rPr>
        <w:t>4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3F2178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3F2178" w:rsidRPr="009E1B2B">
        <w:rPr>
          <w:rFonts w:ascii="Times New Roman" w:hAnsi="Times New Roman"/>
          <w:bCs/>
          <w:iCs/>
        </w:rPr>
        <w:t xml:space="preserve"> 2</w:t>
      </w:r>
      <w:r w:rsidR="003F2178" w:rsidRPr="00C703AA">
        <w:rPr>
          <w:rFonts w:ascii="Times New Roman" w:hAnsi="Times New Roman"/>
          <w:b/>
          <w:bCs/>
          <w:iCs/>
        </w:rPr>
        <w:t xml:space="preserve"> «</w:t>
      </w:r>
      <w:r w:rsidR="003F2178" w:rsidRPr="00C703AA">
        <w:rPr>
          <w:rFonts w:ascii="Times New Roman" w:hAnsi="Times New Roman"/>
          <w:bCs/>
          <w:iCs/>
        </w:rPr>
        <w:t>Источн</w:t>
      </w:r>
      <w:r w:rsidR="009E1B2B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>
        <w:rPr>
          <w:rFonts w:ascii="Times New Roman" w:hAnsi="Times New Roman"/>
          <w:bCs/>
          <w:iCs/>
        </w:rPr>
        <w:tab/>
      </w:r>
      <w:r w:rsidR="00173168">
        <w:rPr>
          <w:rFonts w:ascii="Times New Roman" w:hAnsi="Times New Roman"/>
          <w:bCs/>
          <w:iCs/>
        </w:rPr>
        <w:t>местного бюджета на 2023 год и на плановый период 2024</w:t>
      </w:r>
      <w:r w:rsidR="003F2178" w:rsidRPr="00C703AA">
        <w:rPr>
          <w:rFonts w:ascii="Times New Roman" w:hAnsi="Times New Roman"/>
          <w:bCs/>
          <w:iCs/>
        </w:rPr>
        <w:t xml:space="preserve">    и</w:t>
      </w:r>
      <w:r w:rsidR="0026361B">
        <w:rPr>
          <w:rFonts w:ascii="Times New Roman" w:hAnsi="Times New Roman"/>
          <w:bCs/>
          <w:iCs/>
        </w:rPr>
        <w:t xml:space="preserve"> </w:t>
      </w:r>
      <w:r w:rsidR="00173168">
        <w:rPr>
          <w:rFonts w:ascii="Times New Roman" w:hAnsi="Times New Roman"/>
          <w:bCs/>
          <w:iCs/>
        </w:rPr>
        <w:t xml:space="preserve"> 2025</w:t>
      </w:r>
      <w:r w:rsidR="003F2178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2F4513" w:rsidRDefault="002F4513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4513" w:rsidRDefault="002F4513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1B2B" w:rsidRPr="00FE7DA0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22CE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385701">
        <w:rPr>
          <w:rFonts w:ascii="Times New Roman" w:eastAsia="Times New Roman" w:hAnsi="Times New Roman" w:cs="Times New Roman"/>
          <w:sz w:val="20"/>
          <w:szCs w:val="20"/>
        </w:rPr>
        <w:t>лен</w:t>
      </w:r>
      <w:r w:rsidR="00173168">
        <w:rPr>
          <w:rFonts w:ascii="Times New Roman" w:eastAsia="Times New Roman" w:hAnsi="Times New Roman" w:cs="Times New Roman"/>
          <w:sz w:val="20"/>
          <w:szCs w:val="20"/>
        </w:rPr>
        <w:t>ия Дубовского района на 2023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9E1B2B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385701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73168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73168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C4D8C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</w:t>
      </w:r>
      <w:r w:rsidR="00F22CEB">
        <w:rPr>
          <w:rFonts w:ascii="Times New Roman" w:hAnsi="Times New Roman"/>
          <w:b/>
          <w:bCs/>
          <w:iCs/>
          <w:sz w:val="24"/>
          <w:szCs w:val="24"/>
        </w:rPr>
        <w:t>ефицита местного б</w:t>
      </w:r>
      <w:r w:rsidR="00173168">
        <w:rPr>
          <w:rFonts w:ascii="Times New Roman" w:hAnsi="Times New Roman"/>
          <w:b/>
          <w:bCs/>
          <w:iCs/>
          <w:sz w:val="24"/>
          <w:szCs w:val="24"/>
        </w:rPr>
        <w:t>юджета на 2023</w:t>
      </w:r>
      <w:r w:rsidR="0041338C">
        <w:rPr>
          <w:rFonts w:ascii="Times New Roman" w:hAnsi="Times New Roman"/>
          <w:b/>
          <w:bCs/>
          <w:iCs/>
          <w:sz w:val="24"/>
          <w:szCs w:val="24"/>
        </w:rPr>
        <w:t xml:space="preserve"> год и на плановый </w:t>
      </w:r>
      <w:r w:rsidR="00173168">
        <w:rPr>
          <w:rFonts w:ascii="Times New Roman" w:hAnsi="Times New Roman"/>
          <w:b/>
          <w:bCs/>
          <w:iCs/>
          <w:sz w:val="24"/>
          <w:szCs w:val="24"/>
        </w:rPr>
        <w:t>период 2024 и 2025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  годов»</w:t>
      </w:r>
    </w:p>
    <w:p w:rsidR="003F2178" w:rsidRPr="003C0C7E" w:rsidRDefault="003C0C7E" w:rsidP="003C0C7E">
      <w:pPr>
        <w:pStyle w:val="11"/>
        <w:tabs>
          <w:tab w:val="left" w:pos="7939"/>
          <w:tab w:val="left" w:pos="7989"/>
        </w:tabs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3C0C7E">
        <w:rPr>
          <w:rFonts w:ascii="Times New Roman" w:hAnsi="Times New Roman"/>
          <w:bCs/>
          <w:iCs/>
          <w:sz w:val="20"/>
          <w:szCs w:val="20"/>
        </w:rPr>
        <w:tab/>
      </w:r>
      <w:r w:rsidRPr="003C0C7E"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3F2178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hideMark/>
          </w:tcPr>
          <w:p w:rsidR="003F2178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2025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</w:t>
            </w:r>
            <w:r w:rsidR="00F22CE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1E2FA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</w:t>
            </w:r>
            <w:r w:rsidR="00F22CE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D8281C" w:rsidRPr="003F2178" w:rsidTr="003F2178">
        <w:trPr>
          <w:trHeight w:val="420"/>
        </w:trPr>
        <w:tc>
          <w:tcPr>
            <w:tcW w:w="2977" w:type="dxa"/>
            <w:hideMark/>
          </w:tcPr>
          <w:p w:rsidR="00D8281C" w:rsidRPr="003F2178" w:rsidRDefault="00D8281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D8281C" w:rsidRPr="003F2178" w:rsidRDefault="00D8281C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6110,6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81C" w:rsidRPr="003F2178" w:rsidTr="003F2178">
        <w:trPr>
          <w:trHeight w:val="750"/>
        </w:trPr>
        <w:tc>
          <w:tcPr>
            <w:tcW w:w="2977" w:type="dxa"/>
            <w:hideMark/>
          </w:tcPr>
          <w:p w:rsidR="00D8281C" w:rsidRPr="003F2178" w:rsidRDefault="00D8281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D8281C" w:rsidRPr="003F2178" w:rsidRDefault="00D8281C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6110,6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81C" w:rsidRPr="003F2178" w:rsidTr="003F2178">
        <w:trPr>
          <w:trHeight w:val="735"/>
        </w:trPr>
        <w:tc>
          <w:tcPr>
            <w:tcW w:w="2977" w:type="dxa"/>
            <w:hideMark/>
          </w:tcPr>
          <w:p w:rsidR="00D8281C" w:rsidRPr="003F2178" w:rsidRDefault="00D8281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D8281C" w:rsidRPr="003F2178" w:rsidRDefault="00D8281C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6110,6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81C" w:rsidRPr="003F2178" w:rsidTr="003F2178">
        <w:trPr>
          <w:trHeight w:val="795"/>
        </w:trPr>
        <w:tc>
          <w:tcPr>
            <w:tcW w:w="2977" w:type="dxa"/>
            <w:hideMark/>
          </w:tcPr>
          <w:p w:rsidR="00D8281C" w:rsidRPr="003F2178" w:rsidRDefault="00D8281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D8281C" w:rsidRPr="003F2178" w:rsidRDefault="00D8281C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6110,6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81C" w:rsidRPr="003F2178" w:rsidTr="003F2178">
        <w:trPr>
          <w:trHeight w:val="420"/>
        </w:trPr>
        <w:tc>
          <w:tcPr>
            <w:tcW w:w="2977" w:type="dxa"/>
            <w:hideMark/>
          </w:tcPr>
          <w:p w:rsidR="00D8281C" w:rsidRPr="003F2178" w:rsidRDefault="00D8281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D8281C" w:rsidRPr="003F2178" w:rsidRDefault="00D8281C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D8281C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</w:t>
            </w:r>
            <w:r w:rsidR="00D8281C" w:rsidRPr="007C1B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D8281C" w:rsidRPr="007C1B3D" w:rsidRDefault="00D8281C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1476" w:rsidRPr="003F2178" w:rsidTr="003F2178">
        <w:trPr>
          <w:trHeight w:val="735"/>
        </w:trPr>
        <w:tc>
          <w:tcPr>
            <w:tcW w:w="2977" w:type="dxa"/>
            <w:hideMark/>
          </w:tcPr>
          <w:p w:rsidR="008B1476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8B1476" w:rsidRPr="003F2178" w:rsidRDefault="008B1476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</w:t>
            </w:r>
            <w:r w:rsidRPr="007C1B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5533,7</w:t>
            </w:r>
          </w:p>
        </w:tc>
      </w:tr>
      <w:tr w:rsidR="008B1476" w:rsidRPr="003F2178" w:rsidTr="003F2178">
        <w:trPr>
          <w:trHeight w:val="795"/>
        </w:trPr>
        <w:tc>
          <w:tcPr>
            <w:tcW w:w="2977" w:type="dxa"/>
            <w:hideMark/>
          </w:tcPr>
          <w:p w:rsidR="008B1476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8B1476" w:rsidRPr="003F2178" w:rsidRDefault="008B1476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</w:t>
            </w:r>
            <w:r w:rsidRPr="007C1B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1476" w:rsidRPr="003F2178" w:rsidTr="003F2178">
        <w:trPr>
          <w:trHeight w:val="1140"/>
        </w:trPr>
        <w:tc>
          <w:tcPr>
            <w:tcW w:w="2977" w:type="dxa"/>
            <w:hideMark/>
          </w:tcPr>
          <w:p w:rsidR="008B1476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8B1476" w:rsidRPr="003F2178" w:rsidRDefault="008B1476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</w:t>
            </w:r>
            <w:r w:rsidRPr="007C1B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5632,3</w:t>
            </w:r>
          </w:p>
        </w:tc>
        <w:tc>
          <w:tcPr>
            <w:tcW w:w="1222" w:type="dxa"/>
            <w:noWrap/>
            <w:hideMark/>
          </w:tcPr>
          <w:p w:rsidR="008B1476" w:rsidRPr="007C1B3D" w:rsidRDefault="008B1476" w:rsidP="000B1BCE">
            <w:pPr>
              <w:jc w:val="center"/>
              <w:rPr>
                <w:rFonts w:ascii="Times New Roman" w:hAnsi="Times New Roman" w:cs="Times New Roman"/>
              </w:rPr>
            </w:pPr>
            <w:r w:rsidRPr="007C1B3D">
              <w:rPr>
                <w:rFonts w:ascii="Times New Roman" w:hAnsi="Times New Roman" w:cs="Times New Roman"/>
              </w:rPr>
              <w:t>5533,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EE7113" w:rsidRPr="003F2178" w:rsidRDefault="00EE7113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EE7113" w:rsidRPr="003F2178" w:rsidRDefault="008B1476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607</w:t>
            </w:r>
            <w:r w:rsidR="00EE711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D06B28" w:rsidRDefault="00D06B28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3B1A41" w:rsidRDefault="003B1A41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Pr="00C703AA" w:rsidRDefault="007B3A55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5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0B1BCE">
        <w:rPr>
          <w:rFonts w:ascii="Times New Roman" w:hAnsi="Times New Roman"/>
          <w:bCs/>
          <w:iCs/>
        </w:rPr>
        <w:t xml:space="preserve"> 5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B1BCE">
        <w:rPr>
          <w:rFonts w:ascii="Times New Roman" w:hAnsi="Times New Roman"/>
          <w:bCs/>
          <w:iCs/>
        </w:rPr>
        <w:t>асходов местного бюджета на 2023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0B1BCE">
        <w:rPr>
          <w:rFonts w:ascii="Times New Roman" w:hAnsi="Times New Roman"/>
          <w:bCs/>
          <w:iCs/>
        </w:rPr>
        <w:t>риод 2024-2025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0B1BC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0B1BCE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0B1BCE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B1BC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2023 год и на плановый период 2024-2025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B1BCE" w:rsidRPr="000C4D8C" w:rsidTr="000B1BC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1BCE" w:rsidRPr="000C4D8C" w:rsidTr="000B1BC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6717</w:t>
            </w:r>
            <w:r w:rsidR="000B1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5632,3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5533,6</w:t>
            </w:r>
          </w:p>
        </w:tc>
      </w:tr>
      <w:tr w:rsidR="000B1BCE" w:rsidRPr="000C4D8C" w:rsidTr="000B1BC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4741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4167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4061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B1BCE" w:rsidRPr="000C4D8C" w:rsidTr="000B1BC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4698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3983,9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3744,9</w:t>
            </w:r>
          </w:p>
        </w:tc>
      </w:tr>
      <w:tr w:rsidR="000B1BCE" w:rsidRPr="000C4D8C" w:rsidTr="000B1BC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3250,4</w:t>
            </w:r>
          </w:p>
        </w:tc>
      </w:tr>
      <w:tr w:rsidR="000B1BCE" w:rsidRPr="000C4D8C" w:rsidTr="000B1BC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B1BCE" w:rsidRPr="000C4D8C" w:rsidTr="000B1BC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314,3</w:t>
            </w:r>
          </w:p>
        </w:tc>
      </w:tr>
      <w:tr w:rsidR="000B1BCE" w:rsidRPr="000C4D8C" w:rsidTr="000B1BC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B1BCE" w:rsidRPr="000C4D8C" w:rsidTr="000B1BC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B1BCE" w:rsidRPr="000C4D8C" w:rsidTr="000B1BC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269,8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B1BCE" w:rsidRPr="000C4D8C" w:rsidTr="000B1BC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F12F0B" w:rsidRDefault="000B1BCE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0B1BCE" w:rsidRPr="000C4D8C" w:rsidTr="000B1BC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0B1BCE" w:rsidRPr="000C4D8C" w:rsidTr="000B1BC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0B1BCE" w:rsidRPr="000C4D8C" w:rsidTr="000B1BC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2814C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  <w:r w:rsidR="000B1BCE"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AE0439" w:rsidRDefault="000B1BCE" w:rsidP="000B1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AE0439" w:rsidRDefault="000B1BCE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436BD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  <w:r w:rsidR="000B1BCE" w:rsidRPr="003F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B1BCE" w:rsidRPr="000C4D8C" w:rsidTr="000B1BC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B1BCE" w:rsidRPr="000C4D8C" w:rsidTr="000B1BC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7B3A55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6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местного бюджета на 2023 год и на плановый период 2024    и  2025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ED742D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6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7421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</w:t>
      </w:r>
      <w:r>
        <w:rPr>
          <w:rFonts w:ascii="Times New Roman" w:eastAsia="Times New Roman" w:hAnsi="Times New Roman" w:cs="Times New Roman"/>
          <w:sz w:val="20"/>
          <w:szCs w:val="20"/>
        </w:rPr>
        <w:t>а 2023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ED742D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ED742D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та   на 2023 год и на плановый период 2024</w:t>
      </w:r>
      <w:r w:rsidR="00A7421C">
        <w:rPr>
          <w:rFonts w:ascii="Times New Roman" w:hAnsi="Times New Roman"/>
          <w:b/>
          <w:bCs/>
          <w:iCs/>
          <w:sz w:val="24"/>
          <w:szCs w:val="24"/>
        </w:rPr>
        <w:t>-202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D742D" w:rsidTr="00420A84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D742D" w:rsidTr="00420A84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ED742D" w:rsidRPr="00867096" w:rsidTr="00420A84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867096" w:rsidTr="00420A84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2A7EA1" w:rsidTr="00420A84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4124,2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ED742D" w:rsidRPr="00F7306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2756C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ED742D" w:rsidTr="00420A84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</w:tr>
      <w:tr w:rsidR="00ED742D" w:rsidTr="00420A84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D742D" w:rsidRPr="007B66E6" w:rsidTr="00420A84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D742D" w:rsidTr="00420A84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ED742D" w:rsidRPr="007B66E6" w:rsidTr="00420A84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</w:t>
            </w:r>
            <w:r w:rsidRPr="00E80241">
              <w:rPr>
                <w:rFonts w:ascii="Times New Roman" w:hAnsi="Times New Roman" w:cs="Times New Roman"/>
              </w:rPr>
              <w:lastRenderedPageBreak/>
              <w:t>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D742D" w:rsidRPr="007B66E6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D742D" w:rsidRPr="005D22E5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D742D" w:rsidRPr="00BA25F2" w:rsidTr="00420A84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ED742D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ED742D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2D" w:rsidRPr="00AE0439" w:rsidRDefault="00ED742D" w:rsidP="00420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436BD0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720570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lastRenderedPageBreak/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ED742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ED742D" w:rsidRPr="00D95651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ED742D" w:rsidRPr="007B66E6" w:rsidTr="00420A84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ED742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ED742D" w:rsidTr="00420A84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</w:t>
            </w:r>
            <w:r w:rsidRPr="00E80241">
              <w:rPr>
                <w:rFonts w:ascii="Times New Roman" w:hAnsi="Times New Roman" w:cs="Times New Roman"/>
              </w:rPr>
              <w:lastRenderedPageBreak/>
              <w:t>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D742D" w:rsidRPr="00D55C8E" w:rsidTr="00420A84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7B3A55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BD3565">
        <w:rPr>
          <w:rFonts w:ascii="Times New Roman" w:hAnsi="Times New Roman"/>
          <w:bCs/>
          <w:iCs/>
        </w:rPr>
        <w:t xml:space="preserve"> 7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184EC7">
        <w:rPr>
          <w:rFonts w:ascii="Times New Roman" w:hAnsi="Times New Roman"/>
          <w:bCs/>
          <w:iCs/>
        </w:rPr>
        <w:t>жета на 2022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184EC7">
        <w:rPr>
          <w:rFonts w:ascii="Times New Roman" w:hAnsi="Times New Roman"/>
          <w:bCs/>
          <w:iCs/>
        </w:rPr>
        <w:t xml:space="preserve"> и на плановый период 2023 -2024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BD3565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7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BD3565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BD3565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BD3565">
        <w:rPr>
          <w:rFonts w:ascii="Times New Roman" w:hAnsi="Times New Roman"/>
          <w:b/>
          <w:bCs/>
          <w:iCs/>
          <w:sz w:val="24"/>
          <w:szCs w:val="24"/>
        </w:rPr>
        <w:t>а 2023 год и на плановый период 2024 -2025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184EC7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BD3565" w:rsidRPr="00C231DF" w:rsidTr="00420A84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184EC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31DF">
              <w:rPr>
                <w:rFonts w:ascii="Times New Roman" w:hAnsi="Times New Roman" w:cs="Times New Roman"/>
              </w:rPr>
              <w:t xml:space="preserve"> </w:t>
            </w:r>
            <w:r w:rsidR="00BD3565"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D3565" w:rsidRPr="00C231DF" w:rsidTr="00420A84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BD3565" w:rsidRPr="00460474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BD3565" w:rsidRPr="00C231DF" w:rsidTr="00420A84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E80241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255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</w:t>
            </w:r>
            <w:r w:rsidRPr="00C231DF">
              <w:rPr>
                <w:rFonts w:ascii="Times New Roman" w:hAnsi="Times New Roman" w:cs="Times New Roman"/>
              </w:rPr>
              <w:lastRenderedPageBreak/>
              <w:t>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65" w:rsidRPr="00AE0439" w:rsidRDefault="00BD3565" w:rsidP="00420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496F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4821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3869,6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99,4</w:t>
            </w:r>
          </w:p>
        </w:tc>
      </w:tr>
      <w:tr w:rsidR="00BD3565" w:rsidRPr="00995E6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995E6F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7231BB" w:rsidRDefault="00BD3565" w:rsidP="00420A84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A41BE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4721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3770,2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A41BE9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4124</w:t>
            </w:r>
            <w:r w:rsidR="00BD3565" w:rsidRPr="00F966E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 xml:space="preserve">хозяйного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410,3</w:t>
            </w:r>
          </w:p>
        </w:tc>
      </w:tr>
      <w:tr w:rsidR="00BD3565" w:rsidRPr="00C231DF" w:rsidTr="00420A84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408,3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D3565" w:rsidRPr="00C231DF" w:rsidTr="00420A84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7B3A55" w:rsidP="007B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DF"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                           </w:t>
            </w:r>
            <w:r w:rsidR="00314E88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A6" w:rsidRDefault="00501FA6" w:rsidP="00EE75F4">
      <w:pPr>
        <w:spacing w:after="0" w:line="240" w:lineRule="auto"/>
      </w:pPr>
      <w:r>
        <w:separator/>
      </w:r>
    </w:p>
  </w:endnote>
  <w:endnote w:type="continuationSeparator" w:id="1">
    <w:p w:rsidR="00501FA6" w:rsidRDefault="00501FA6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A6" w:rsidRDefault="00501FA6" w:rsidP="00EE75F4">
      <w:pPr>
        <w:spacing w:after="0" w:line="240" w:lineRule="auto"/>
      </w:pPr>
      <w:r>
        <w:separator/>
      </w:r>
    </w:p>
  </w:footnote>
  <w:footnote w:type="continuationSeparator" w:id="1">
    <w:p w:rsidR="00501FA6" w:rsidRDefault="00501FA6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550"/>
    <w:rsid w:val="000067AF"/>
    <w:rsid w:val="000140D7"/>
    <w:rsid w:val="00014307"/>
    <w:rsid w:val="00020A12"/>
    <w:rsid w:val="000234E5"/>
    <w:rsid w:val="00041898"/>
    <w:rsid w:val="00050C30"/>
    <w:rsid w:val="00070414"/>
    <w:rsid w:val="00077EE1"/>
    <w:rsid w:val="000851B9"/>
    <w:rsid w:val="00092E18"/>
    <w:rsid w:val="000B1BCE"/>
    <w:rsid w:val="000B31E3"/>
    <w:rsid w:val="000C4D8C"/>
    <w:rsid w:val="000D3F3E"/>
    <w:rsid w:val="000D5C4C"/>
    <w:rsid w:val="000D72A0"/>
    <w:rsid w:val="000E60E3"/>
    <w:rsid w:val="000F0922"/>
    <w:rsid w:val="000F3E2C"/>
    <w:rsid w:val="000F5691"/>
    <w:rsid w:val="00105742"/>
    <w:rsid w:val="001144D1"/>
    <w:rsid w:val="001208DE"/>
    <w:rsid w:val="00124A95"/>
    <w:rsid w:val="00131D3C"/>
    <w:rsid w:val="00136B95"/>
    <w:rsid w:val="00155ABA"/>
    <w:rsid w:val="00171D29"/>
    <w:rsid w:val="00173168"/>
    <w:rsid w:val="00184EC7"/>
    <w:rsid w:val="001A0ADE"/>
    <w:rsid w:val="001A112E"/>
    <w:rsid w:val="001B7BFD"/>
    <w:rsid w:val="001C7979"/>
    <w:rsid w:val="001E2FAB"/>
    <w:rsid w:val="001E3EE4"/>
    <w:rsid w:val="001E7034"/>
    <w:rsid w:val="00224C68"/>
    <w:rsid w:val="00247FB5"/>
    <w:rsid w:val="00257927"/>
    <w:rsid w:val="0026304B"/>
    <w:rsid w:val="0026361B"/>
    <w:rsid w:val="00265602"/>
    <w:rsid w:val="0027341E"/>
    <w:rsid w:val="0028023A"/>
    <w:rsid w:val="002814C6"/>
    <w:rsid w:val="00286FB7"/>
    <w:rsid w:val="0029070A"/>
    <w:rsid w:val="00295BAA"/>
    <w:rsid w:val="002B2AB8"/>
    <w:rsid w:val="002C152A"/>
    <w:rsid w:val="002C409A"/>
    <w:rsid w:val="002D0CE9"/>
    <w:rsid w:val="002D6B72"/>
    <w:rsid w:val="002F4513"/>
    <w:rsid w:val="002F4910"/>
    <w:rsid w:val="00314E88"/>
    <w:rsid w:val="0032256C"/>
    <w:rsid w:val="00336E74"/>
    <w:rsid w:val="00350575"/>
    <w:rsid w:val="00361237"/>
    <w:rsid w:val="0036257C"/>
    <w:rsid w:val="00367DE7"/>
    <w:rsid w:val="003769C5"/>
    <w:rsid w:val="00376F65"/>
    <w:rsid w:val="00384340"/>
    <w:rsid w:val="00385701"/>
    <w:rsid w:val="00386C81"/>
    <w:rsid w:val="003A71D3"/>
    <w:rsid w:val="003B1A41"/>
    <w:rsid w:val="003C0C7E"/>
    <w:rsid w:val="003C1ED8"/>
    <w:rsid w:val="003F0C8F"/>
    <w:rsid w:val="003F2178"/>
    <w:rsid w:val="003F4D6E"/>
    <w:rsid w:val="00405347"/>
    <w:rsid w:val="0040579D"/>
    <w:rsid w:val="0041338C"/>
    <w:rsid w:val="004138A8"/>
    <w:rsid w:val="00413CD4"/>
    <w:rsid w:val="0041680A"/>
    <w:rsid w:val="004203F0"/>
    <w:rsid w:val="00420A84"/>
    <w:rsid w:val="00436BD0"/>
    <w:rsid w:val="004405C1"/>
    <w:rsid w:val="004410E0"/>
    <w:rsid w:val="00462C84"/>
    <w:rsid w:val="00485C36"/>
    <w:rsid w:val="00496F65"/>
    <w:rsid w:val="004A5666"/>
    <w:rsid w:val="004B1D7E"/>
    <w:rsid w:val="004D029E"/>
    <w:rsid w:val="004D1226"/>
    <w:rsid w:val="004E5893"/>
    <w:rsid w:val="004F5966"/>
    <w:rsid w:val="00501FA6"/>
    <w:rsid w:val="0050683A"/>
    <w:rsid w:val="005347BB"/>
    <w:rsid w:val="00536742"/>
    <w:rsid w:val="00550F06"/>
    <w:rsid w:val="0057152A"/>
    <w:rsid w:val="00571DA6"/>
    <w:rsid w:val="0058769A"/>
    <w:rsid w:val="005951E7"/>
    <w:rsid w:val="005A3FD1"/>
    <w:rsid w:val="005B6E70"/>
    <w:rsid w:val="005C0487"/>
    <w:rsid w:val="005C38DE"/>
    <w:rsid w:val="005C7152"/>
    <w:rsid w:val="005C778E"/>
    <w:rsid w:val="005F01DC"/>
    <w:rsid w:val="005F27F5"/>
    <w:rsid w:val="005F558B"/>
    <w:rsid w:val="005F69C4"/>
    <w:rsid w:val="0060362F"/>
    <w:rsid w:val="00603FFA"/>
    <w:rsid w:val="00611C3F"/>
    <w:rsid w:val="00614ADC"/>
    <w:rsid w:val="0062743B"/>
    <w:rsid w:val="00630794"/>
    <w:rsid w:val="006322CA"/>
    <w:rsid w:val="00651A3E"/>
    <w:rsid w:val="00665899"/>
    <w:rsid w:val="00675C74"/>
    <w:rsid w:val="00682902"/>
    <w:rsid w:val="0068315C"/>
    <w:rsid w:val="00690C5E"/>
    <w:rsid w:val="006A53EE"/>
    <w:rsid w:val="006C0983"/>
    <w:rsid w:val="006C416D"/>
    <w:rsid w:val="006D19F3"/>
    <w:rsid w:val="006D527E"/>
    <w:rsid w:val="006E184E"/>
    <w:rsid w:val="006F14B9"/>
    <w:rsid w:val="006F3AE3"/>
    <w:rsid w:val="00713286"/>
    <w:rsid w:val="007231BB"/>
    <w:rsid w:val="00724B91"/>
    <w:rsid w:val="00724C81"/>
    <w:rsid w:val="00725B4B"/>
    <w:rsid w:val="0076638E"/>
    <w:rsid w:val="0078103F"/>
    <w:rsid w:val="007A0BAE"/>
    <w:rsid w:val="007B3A55"/>
    <w:rsid w:val="007B6DDE"/>
    <w:rsid w:val="007D6437"/>
    <w:rsid w:val="007E4C7A"/>
    <w:rsid w:val="007F7819"/>
    <w:rsid w:val="008442A2"/>
    <w:rsid w:val="00856F02"/>
    <w:rsid w:val="008600F6"/>
    <w:rsid w:val="008713CD"/>
    <w:rsid w:val="008919A0"/>
    <w:rsid w:val="00892043"/>
    <w:rsid w:val="008A2DD3"/>
    <w:rsid w:val="008B1476"/>
    <w:rsid w:val="008D461D"/>
    <w:rsid w:val="008E0C0A"/>
    <w:rsid w:val="008F68F3"/>
    <w:rsid w:val="00935D86"/>
    <w:rsid w:val="00967909"/>
    <w:rsid w:val="00976745"/>
    <w:rsid w:val="00983288"/>
    <w:rsid w:val="009951CC"/>
    <w:rsid w:val="00995E6F"/>
    <w:rsid w:val="009A0406"/>
    <w:rsid w:val="009A0947"/>
    <w:rsid w:val="009A09EA"/>
    <w:rsid w:val="009A5766"/>
    <w:rsid w:val="009B07D2"/>
    <w:rsid w:val="009B0D80"/>
    <w:rsid w:val="009B6C64"/>
    <w:rsid w:val="009D29A0"/>
    <w:rsid w:val="009D3DE5"/>
    <w:rsid w:val="009D55F4"/>
    <w:rsid w:val="009D68D1"/>
    <w:rsid w:val="009E1B2B"/>
    <w:rsid w:val="009F6C5F"/>
    <w:rsid w:val="00A41BE9"/>
    <w:rsid w:val="00A52BCC"/>
    <w:rsid w:val="00A53D89"/>
    <w:rsid w:val="00A6558A"/>
    <w:rsid w:val="00A7421C"/>
    <w:rsid w:val="00A83376"/>
    <w:rsid w:val="00A83DC7"/>
    <w:rsid w:val="00A84A97"/>
    <w:rsid w:val="00A86819"/>
    <w:rsid w:val="00AB794E"/>
    <w:rsid w:val="00AE0439"/>
    <w:rsid w:val="00AE487A"/>
    <w:rsid w:val="00AE642C"/>
    <w:rsid w:val="00AF2EB9"/>
    <w:rsid w:val="00B004ED"/>
    <w:rsid w:val="00B02B07"/>
    <w:rsid w:val="00B03768"/>
    <w:rsid w:val="00B037DE"/>
    <w:rsid w:val="00B21452"/>
    <w:rsid w:val="00B41604"/>
    <w:rsid w:val="00B41CE4"/>
    <w:rsid w:val="00B70D00"/>
    <w:rsid w:val="00B7189E"/>
    <w:rsid w:val="00B80A32"/>
    <w:rsid w:val="00BB44F1"/>
    <w:rsid w:val="00BC5E1A"/>
    <w:rsid w:val="00BD3565"/>
    <w:rsid w:val="00BE36A4"/>
    <w:rsid w:val="00BE5884"/>
    <w:rsid w:val="00BE66BE"/>
    <w:rsid w:val="00BF174F"/>
    <w:rsid w:val="00BF6333"/>
    <w:rsid w:val="00C22B41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75157"/>
    <w:rsid w:val="00C80FA0"/>
    <w:rsid w:val="00C85491"/>
    <w:rsid w:val="00CA0AC4"/>
    <w:rsid w:val="00CE1DEF"/>
    <w:rsid w:val="00D06B28"/>
    <w:rsid w:val="00D143BA"/>
    <w:rsid w:val="00D24BA6"/>
    <w:rsid w:val="00D41175"/>
    <w:rsid w:val="00D43113"/>
    <w:rsid w:val="00D50A7E"/>
    <w:rsid w:val="00D657CA"/>
    <w:rsid w:val="00D722F8"/>
    <w:rsid w:val="00D80A63"/>
    <w:rsid w:val="00D8281C"/>
    <w:rsid w:val="00D95F8F"/>
    <w:rsid w:val="00D96D8F"/>
    <w:rsid w:val="00DE1418"/>
    <w:rsid w:val="00E06F37"/>
    <w:rsid w:val="00E1098B"/>
    <w:rsid w:val="00E22023"/>
    <w:rsid w:val="00E2425E"/>
    <w:rsid w:val="00E32B23"/>
    <w:rsid w:val="00E44BB2"/>
    <w:rsid w:val="00E51E81"/>
    <w:rsid w:val="00E5789C"/>
    <w:rsid w:val="00E60E83"/>
    <w:rsid w:val="00E63BE1"/>
    <w:rsid w:val="00E64025"/>
    <w:rsid w:val="00E66DEC"/>
    <w:rsid w:val="00E75C3E"/>
    <w:rsid w:val="00E80241"/>
    <w:rsid w:val="00E904AD"/>
    <w:rsid w:val="00E92F83"/>
    <w:rsid w:val="00E93F5D"/>
    <w:rsid w:val="00E959C1"/>
    <w:rsid w:val="00ED6947"/>
    <w:rsid w:val="00ED742D"/>
    <w:rsid w:val="00EE6158"/>
    <w:rsid w:val="00EE7113"/>
    <w:rsid w:val="00EE75F4"/>
    <w:rsid w:val="00EF128E"/>
    <w:rsid w:val="00F00891"/>
    <w:rsid w:val="00F02D36"/>
    <w:rsid w:val="00F048E8"/>
    <w:rsid w:val="00F123B3"/>
    <w:rsid w:val="00F12F0B"/>
    <w:rsid w:val="00F13B55"/>
    <w:rsid w:val="00F22CEB"/>
    <w:rsid w:val="00F34E31"/>
    <w:rsid w:val="00F4632F"/>
    <w:rsid w:val="00F52B2E"/>
    <w:rsid w:val="00F53AD2"/>
    <w:rsid w:val="00F540EE"/>
    <w:rsid w:val="00F61E85"/>
    <w:rsid w:val="00F7378E"/>
    <w:rsid w:val="00F9035E"/>
    <w:rsid w:val="00F91B57"/>
    <w:rsid w:val="00FA77A6"/>
    <w:rsid w:val="00FB2176"/>
    <w:rsid w:val="00FB6822"/>
    <w:rsid w:val="00FB6F99"/>
    <w:rsid w:val="00FC128B"/>
    <w:rsid w:val="00FC5040"/>
    <w:rsid w:val="00FE18D3"/>
    <w:rsid w:val="00FE5256"/>
    <w:rsid w:val="00FE5DA8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28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283</cp:revision>
  <dcterms:created xsi:type="dcterms:W3CDTF">2020-03-13T09:12:00Z</dcterms:created>
  <dcterms:modified xsi:type="dcterms:W3CDTF">2023-02-16T08:47:00Z</dcterms:modified>
</cp:coreProperties>
</file>