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F05703">
        <w:rPr>
          <w:rFonts w:ascii="Times New Roman" w:hAnsi="Times New Roman"/>
          <w:sz w:val="28"/>
          <w:szCs w:val="28"/>
        </w:rPr>
        <w:t xml:space="preserve"> 176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F05703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="00F05703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72658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F05703" w:rsidRDefault="00872658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F05703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</w:t>
      </w:r>
      <w:r w:rsidR="00F05703">
        <w:rPr>
          <w:rFonts w:ascii="Times New Roman" w:hAnsi="Times New Roman"/>
          <w:sz w:val="28"/>
          <w:szCs w:val="28"/>
        </w:rPr>
        <w:t xml:space="preserve">униципальной услуги «Заключение </w:t>
      </w:r>
    </w:p>
    <w:p w:rsidR="00F05703" w:rsidRDefault="00F05703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  соглашений  к  договорам  аренды, </w:t>
      </w:r>
    </w:p>
    <w:p w:rsidR="00F73745" w:rsidRPr="00CB50B1" w:rsidRDefault="00F05703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 w:rsidRPr="00BF0BAA">
        <w:rPr>
          <w:kern w:val="1"/>
        </w:rPr>
        <w:t>Земельным кодексом Российской Федерации</w:t>
      </w:r>
      <w:r w:rsidR="002D59DB">
        <w:t xml:space="preserve">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872658">
        <w:t>ениями),</w:t>
      </w:r>
      <w:r w:rsidR="002D59DB" w:rsidRPr="00BF0BAA">
        <w:rPr>
          <w:kern w:val="1"/>
        </w:rPr>
        <w:t xml:space="preserve">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F05703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D59DB">
        <w:rPr>
          <w:rFonts w:ascii="Times New Roman" w:hAnsi="Times New Roman"/>
          <w:sz w:val="28"/>
          <w:szCs w:val="28"/>
        </w:rPr>
        <w:t>«</w:t>
      </w:r>
      <w:r w:rsidR="00F05703">
        <w:rPr>
          <w:rFonts w:ascii="Times New Roman" w:hAnsi="Times New Roman"/>
          <w:sz w:val="28"/>
          <w:szCs w:val="28"/>
        </w:rPr>
        <w:t xml:space="preserve">Заключение дополнительных   соглашений  к  договорам </w:t>
      </w:r>
      <w:r w:rsidR="00F05703">
        <w:rPr>
          <w:rFonts w:ascii="Times New Roman" w:hAnsi="Times New Roman"/>
          <w:sz w:val="28"/>
          <w:szCs w:val="28"/>
        </w:rPr>
        <w:t xml:space="preserve"> аренды, </w:t>
      </w:r>
      <w:r w:rsidR="00F05703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, </w:t>
      </w:r>
      <w:r w:rsidR="00F73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72658" w:rsidRDefault="00872658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F05703" w:rsidRDefault="00F05703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F05703" w:rsidRPr="008832AC" w:rsidRDefault="00F05703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9F6981" w:rsidRDefault="009F6981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F05703">
        <w:rPr>
          <w:rFonts w:ascii="Times New Roman" w:hAnsi="Times New Roman"/>
          <w:sz w:val="16"/>
          <w:szCs w:val="16"/>
          <w:bdr w:val="none" w:sz="0" w:space="0" w:color="auto" w:frame="1"/>
        </w:rPr>
        <w:t>21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F05703">
        <w:rPr>
          <w:rFonts w:ascii="Times New Roman" w:hAnsi="Times New Roman"/>
          <w:sz w:val="16"/>
          <w:szCs w:val="16"/>
          <w:bdr w:val="none" w:sz="0" w:space="0" w:color="auto" w:frame="1"/>
        </w:rPr>
        <w:t>176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F05703" w:rsidRDefault="00F05703" w:rsidP="00F0570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  соглашений  к  договорам  аренды,</w:t>
      </w:r>
    </w:p>
    <w:p w:rsidR="00872658" w:rsidRPr="00CB50B1" w:rsidRDefault="00F05703" w:rsidP="00F0570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872658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F05703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F05703">
        <w:rPr>
          <w:rFonts w:ascii="Times New Roman" w:hAnsi="Times New Roman"/>
          <w:sz w:val="28"/>
          <w:szCs w:val="28"/>
        </w:rPr>
        <w:t>«</w:t>
      </w:r>
      <w:r w:rsidR="00F05703">
        <w:rPr>
          <w:rFonts w:ascii="Times New Roman" w:hAnsi="Times New Roman"/>
          <w:sz w:val="28"/>
          <w:szCs w:val="28"/>
        </w:rPr>
        <w:t xml:space="preserve">Заключение дополнительных   соглашений  к  договорам </w:t>
      </w:r>
      <w:r w:rsidR="00F05703">
        <w:rPr>
          <w:rFonts w:ascii="Times New Roman" w:hAnsi="Times New Roman"/>
          <w:sz w:val="28"/>
          <w:szCs w:val="28"/>
        </w:rPr>
        <w:t xml:space="preserve"> аренды, </w:t>
      </w:r>
      <w:r w:rsidR="00F05703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2D59DB" w:rsidRPr="002D59DB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    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2B04A4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F05703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B04A4">
        <w:rPr>
          <w:rFonts w:ascii="Times New Roman" w:hAnsi="Times New Roman"/>
          <w:sz w:val="28"/>
          <w:szCs w:val="28"/>
        </w:rPr>
        <w:t>«</w:t>
      </w:r>
      <w:r w:rsidR="00F05703">
        <w:rPr>
          <w:rFonts w:ascii="Times New Roman" w:hAnsi="Times New Roman"/>
          <w:sz w:val="28"/>
          <w:szCs w:val="28"/>
        </w:rPr>
        <w:t xml:space="preserve">Заключение дополнительных   соглашений  к  договорам  аренды, </w:t>
      </w:r>
      <w:r w:rsidR="00F05703">
        <w:rPr>
          <w:rFonts w:ascii="Times New Roman" w:hAnsi="Times New Roman"/>
          <w:sz w:val="28"/>
          <w:szCs w:val="28"/>
        </w:rPr>
        <w:t xml:space="preserve"> </w:t>
      </w:r>
      <w:r w:rsidR="00F05703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2B04A4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8A2434" w:rsidRPr="008A2434" w:rsidRDefault="008A2434" w:rsidP="008A2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434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A2434" w:rsidRPr="008A2434" w:rsidRDefault="008A2434" w:rsidP="008A2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- МНО по Дубовскому, </w:t>
      </w:r>
      <w:proofErr w:type="spellStart"/>
      <w:r w:rsidRPr="008A2434">
        <w:rPr>
          <w:rFonts w:ascii="Times New Roman" w:eastAsia="Times New Roman" w:hAnsi="Times New Roman" w:cs="Times New Roman"/>
          <w:sz w:val="28"/>
          <w:szCs w:val="28"/>
        </w:rPr>
        <w:t>Заветинскому</w:t>
      </w:r>
      <w:proofErr w:type="spellEnd"/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 районам </w:t>
      </w:r>
      <w:proofErr w:type="gramStart"/>
      <w:r w:rsidRPr="008A2434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proofErr w:type="gramEnd"/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области;</w:t>
      </w:r>
    </w:p>
    <w:p w:rsidR="008A2434" w:rsidRPr="008A2434" w:rsidRDefault="008A2434" w:rsidP="008A2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- Филиал ФГБУ «ФКП </w:t>
      </w:r>
      <w:proofErr w:type="spellStart"/>
      <w:r w:rsidRPr="008A243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6981">
        <w:rPr>
          <w:rFonts w:ascii="Times New Roman" w:eastAsia="Times New Roman" w:hAnsi="Times New Roman" w:cs="Times New Roman"/>
          <w:sz w:val="28"/>
          <w:szCs w:val="28"/>
        </w:rPr>
        <w:t>среестр</w:t>
      </w:r>
      <w:proofErr w:type="spellEnd"/>
      <w:r w:rsidR="009F6981">
        <w:rPr>
          <w:rFonts w:ascii="Times New Roman" w:eastAsia="Times New Roman" w:hAnsi="Times New Roman" w:cs="Times New Roman"/>
          <w:sz w:val="28"/>
          <w:szCs w:val="28"/>
        </w:rPr>
        <w:t>» по Ростовской области.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D4427F" w:rsidRPr="00D4427F" w:rsidRDefault="00F05703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заключение дополнительного соглашения к договору аренды, безвозмездного пользования земельным участком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7F" w:rsidRPr="00D4427F" w:rsidRDefault="00F05703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F05703">
        <w:rPr>
          <w:rFonts w:ascii="Times New Roman" w:hAnsi="Times New Roman"/>
          <w:sz w:val="28"/>
          <w:szCs w:val="28"/>
          <w:bdr w:val="none" w:sz="0" w:space="0" w:color="auto" w:frame="1"/>
        </w:rPr>
        <w:t>30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lastRenderedPageBreak/>
        <w:t>-</w:t>
      </w:r>
      <w:r w:rsidRPr="008A2434">
        <w:rPr>
          <w:rFonts w:ascii="Times New Roman" w:hAnsi="Times New Roman"/>
          <w:sz w:val="28"/>
          <w:szCs w:val="28"/>
        </w:rPr>
        <w:t xml:space="preserve"> документы, основания для внесения изменений в договор аренды земельного участка: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изменении фамилии, имени или отчества физического лица - документ, подтверждающий смену фамилии, имени или отчества (для физических лиц);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наследовании обязательств по договору аренды - свидетельство о праве на наследство;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изменении размера арендной платы - документы, подтверждающие принадлежность к льготной категории граждан;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вводе объекта в эксплуатацию и регистрации права собственности - свидетельство о го</w:t>
      </w:r>
      <w:r w:rsidRPr="008A2434">
        <w:rPr>
          <w:rFonts w:ascii="Times New Roman" w:hAnsi="Times New Roman"/>
          <w:sz w:val="28"/>
          <w:szCs w:val="28"/>
        </w:rPr>
        <w:t>сударственной регистрации права.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8A2434" w:rsidRPr="008A2434" w:rsidRDefault="00983815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</w:t>
      </w:r>
      <w:r w:rsidR="008A2434">
        <w:rPr>
          <w:rFonts w:ascii="Times New Roman" w:hAnsi="Times New Roman"/>
          <w:sz w:val="28"/>
          <w:szCs w:val="28"/>
        </w:rPr>
        <w:t xml:space="preserve">кументов и </w:t>
      </w:r>
      <w:r w:rsidR="008A2434" w:rsidRPr="008A2434">
        <w:rPr>
          <w:lang w:eastAsia="en-US" w:bidi="en-US"/>
        </w:rPr>
        <w:t xml:space="preserve"> 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>оформление дополнительного соглашения к договору аренды, безвозмездного пользования земельного участка;</w:t>
      </w:r>
      <w:r w:rsidR="009F6981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 xml:space="preserve"> -</w:t>
      </w:r>
      <w:r w:rsidR="009F6981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A2434" w:rsidRPr="008A2434">
        <w:rPr>
          <w:rFonts w:ascii="Times New Roman" w:hAnsi="Times New Roman"/>
          <w:kern w:val="28"/>
          <w:sz w:val="28"/>
          <w:szCs w:val="28"/>
          <w:lang w:eastAsia="en-US" w:bidi="en-US"/>
        </w:rPr>
        <w:t xml:space="preserve">вручение или направление  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>дополнительного соглашения к договору аренды, безвозмездного пользования земельного участка</w:t>
      </w:r>
      <w:r w:rsidR="008A2434" w:rsidRPr="008A2434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9F6981" w:rsidRPr="009F6981" w:rsidRDefault="00E67E6F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9F698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заключении</w:t>
      </w:r>
      <w:r w:rsidR="009F6981" w:rsidRPr="009F6981">
        <w:rPr>
          <w:lang w:eastAsia="en-US" w:bidi="en-US"/>
        </w:rPr>
        <w:t xml:space="preserve"> </w:t>
      </w:r>
      <w:r w:rsidR="009F6981" w:rsidRPr="009F6981">
        <w:rPr>
          <w:rFonts w:ascii="Times New Roman" w:hAnsi="Times New Roman"/>
          <w:sz w:val="28"/>
          <w:szCs w:val="28"/>
          <w:lang w:eastAsia="en-US" w:bidi="en-US"/>
        </w:rPr>
        <w:t>дополнительного соглашения к договору аренды, безвозмездного пользования</w:t>
      </w:r>
      <w:r w:rsidR="009F6981">
        <w:rPr>
          <w:rFonts w:ascii="Times New Roman" w:hAnsi="Times New Roman"/>
          <w:sz w:val="28"/>
          <w:szCs w:val="28"/>
          <w:lang w:eastAsia="en-US" w:bidi="en-US"/>
        </w:rPr>
        <w:t xml:space="preserve"> земельного участка.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 xml:space="preserve">Специалист Администрации подготавливает </w:t>
      </w:r>
      <w:r w:rsidR="009F6981">
        <w:rPr>
          <w:rFonts w:ascii="Times New Roman" w:hAnsi="Times New Roman"/>
          <w:sz w:val="28"/>
          <w:szCs w:val="28"/>
        </w:rPr>
        <w:t xml:space="preserve">проект </w:t>
      </w:r>
      <w:r w:rsidR="009F6981" w:rsidRPr="009F6981">
        <w:rPr>
          <w:rFonts w:ascii="Times New Roman" w:hAnsi="Times New Roman"/>
          <w:sz w:val="28"/>
          <w:szCs w:val="28"/>
          <w:lang w:eastAsia="en-US" w:bidi="en-US"/>
        </w:rPr>
        <w:t>дополнительного соглашения к договору аренды, безвозмездного пользования</w:t>
      </w:r>
      <w:r w:rsidR="009F6981">
        <w:rPr>
          <w:rFonts w:ascii="Times New Roman" w:hAnsi="Times New Roman"/>
          <w:sz w:val="28"/>
          <w:szCs w:val="28"/>
          <w:lang w:eastAsia="en-US" w:bidi="en-US"/>
        </w:rPr>
        <w:t xml:space="preserve"> земельного участка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9F6981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eastAsia="en-US" w:bidi="en-US"/>
        </w:rPr>
        <w:t>ополнительное соглашение</w:t>
      </w:r>
      <w:r w:rsidRPr="009F6981">
        <w:rPr>
          <w:rFonts w:ascii="Times New Roman" w:hAnsi="Times New Roman"/>
          <w:sz w:val="28"/>
          <w:szCs w:val="28"/>
          <w:lang w:eastAsia="en-US" w:bidi="en-US"/>
        </w:rPr>
        <w:t xml:space="preserve"> к договору аренды, безвозмездного пользования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земельного участка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6981" w:rsidRDefault="009F6981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9F6981">
        <w:rPr>
          <w:rFonts w:ascii="Times New Roman" w:hAnsi="Times New Roman" w:cs="Times New Roman"/>
          <w:sz w:val="16"/>
          <w:szCs w:val="16"/>
        </w:rPr>
        <w:t xml:space="preserve"> услуги «Заключение дополнительных соглашений к договорам аренды, безвозмездного пользования земельным участком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1"/>
        <w:gridCol w:w="4056"/>
      </w:tblGrid>
      <w:tr w:rsidR="00983815" w:rsidRPr="00BB59C5" w:rsidTr="00865D3F">
        <w:tc>
          <w:tcPr>
            <w:tcW w:w="6365" w:type="dxa"/>
          </w:tcPr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6C5479" w:rsidRDefault="00983815" w:rsidP="00865D3F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тел_____________________________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815" w:rsidRDefault="00983815" w:rsidP="00983815">
      <w:pPr>
        <w:pStyle w:val="ConsPlusNonformat"/>
        <w:tabs>
          <w:tab w:val="left" w:pos="5461"/>
        </w:tabs>
        <w:rPr>
          <w:rFonts w:ascii="Times New Roman" w:hAnsi="Times New Roman" w:cs="Times New Roman"/>
          <w:sz w:val="22"/>
          <w:szCs w:val="22"/>
        </w:rPr>
      </w:pPr>
    </w:p>
    <w:p w:rsidR="00983815" w:rsidRPr="003C71BA" w:rsidRDefault="00983815" w:rsidP="00983815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  <w:r w:rsidRPr="00E86F38">
        <w:rPr>
          <w:b w:val="0"/>
          <w:sz w:val="24"/>
          <w:szCs w:val="24"/>
        </w:rPr>
        <w:t>ЗАЯВЛЕНИЕ</w:t>
      </w:r>
    </w:p>
    <w:p w:rsidR="009F6981" w:rsidRPr="009F6981" w:rsidRDefault="009F6981" w:rsidP="009F69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6981" w:rsidRPr="009F6981" w:rsidRDefault="009F6981" w:rsidP="009F69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981">
        <w:rPr>
          <w:rFonts w:ascii="Times New Roman" w:eastAsia="Times New Roman" w:hAnsi="Times New Roman" w:cs="Times New Roman"/>
        </w:rPr>
        <w:t xml:space="preserve">       </w:t>
      </w:r>
      <w:r w:rsidRPr="009F6981">
        <w:rPr>
          <w:rFonts w:ascii="Times New Roman" w:eastAsia="Times New Roman" w:hAnsi="Times New Roman" w:cs="Times New Roman"/>
          <w:sz w:val="28"/>
          <w:szCs w:val="28"/>
        </w:rPr>
        <w:t xml:space="preserve">Прошу заключить дополнительное соглашение к договору  аренды, безвозмездного пользования  от _______________г. №_______ на земельный участок, расположенный по адресу: ________________________________________________________________, общей площадью ________________ </w:t>
      </w:r>
      <w:proofErr w:type="spellStart"/>
      <w:r w:rsidRPr="009F698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F6981">
        <w:rPr>
          <w:rFonts w:ascii="Times New Roman" w:eastAsia="Times New Roman" w:hAnsi="Times New Roman" w:cs="Times New Roman"/>
          <w:sz w:val="28"/>
          <w:szCs w:val="28"/>
        </w:rPr>
        <w:t>., с кадастровым номером ___________________________  на основании (указать причину)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9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6981">
        <w:rPr>
          <w:rFonts w:ascii="Times New Roman" w:eastAsia="Times New Roman" w:hAnsi="Times New Roman" w:cs="Times New Roman"/>
        </w:rPr>
        <w:t xml:space="preserve">                      </w:t>
      </w: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815" w:rsidRPr="006C6FB0" w:rsidRDefault="00983815" w:rsidP="00983815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9F6981">
        <w:rPr>
          <w:rFonts w:ascii="Times New Roman" w:hAnsi="Times New Roman" w:cs="Times New Roman"/>
          <w:sz w:val="16"/>
          <w:szCs w:val="16"/>
        </w:rPr>
        <w:t>«</w:t>
      </w:r>
      <w:r w:rsidR="009F6981">
        <w:rPr>
          <w:rFonts w:ascii="Times New Roman" w:hAnsi="Times New Roman" w:cs="Times New Roman"/>
          <w:sz w:val="16"/>
          <w:szCs w:val="16"/>
        </w:rPr>
        <w:t>Заключение дополнительных соглашений к договорам аренды, безвозмездного пользования земельным участком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C47F67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C47F67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C47F67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5.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C47F67" w:rsidRDefault="00CC5F9F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C47F67" w:rsidRPr="00C47F67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 w:rsidR="00C47F6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C47F67" w:rsidRPr="00C47F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47F67" w:rsidRPr="00C47F67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дополнительного соглашения к договору аренды, безвозмездного пользования</w:t>
                  </w:r>
                  <w:r w:rsidR="00C47F67">
                    <w:rPr>
                      <w:rFonts w:ascii="Times New Roman" w:hAnsi="Times New Roman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r w:rsidR="00C47F67" w:rsidRPr="00C47F67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47F67" w:rsidP="00723B41">
                  <w:pPr>
                    <w:jc w:val="center"/>
                  </w:pPr>
                  <w:r>
                    <w:t>П</w:t>
                  </w:r>
                  <w:r w:rsidR="00CC5F9F">
                    <w:t>ередача</w:t>
                  </w:r>
                  <w:r w:rsidR="00CC5F9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дополнительного соглашения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C47F67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69.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C47F67" w:rsidRDefault="00723B41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направл</w:t>
                  </w:r>
                  <w:r w:rsidR="00C47F67">
                    <w:t xml:space="preserve">ение заявителю </w:t>
                  </w:r>
                  <w:r w:rsidR="00C47F67" w:rsidRPr="00C47F67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дополнительного соглашения к договору аренды, безвозмездного пользования</w:t>
                  </w:r>
                  <w:r w:rsidR="00C47F67">
                    <w:rPr>
                      <w:rFonts w:ascii="Times New Roman" w:hAnsi="Times New Roman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r w:rsidR="00C47F67" w:rsidRPr="00C47F67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земельного участка</w:t>
                  </w:r>
                  <w:bookmarkStart w:id="1" w:name="_GoBack"/>
                  <w:bookmarkEnd w:id="1"/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47F67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9F69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B04A4"/>
    <w:rsid w:val="002D59DB"/>
    <w:rsid w:val="002E39D0"/>
    <w:rsid w:val="00323310"/>
    <w:rsid w:val="003462B2"/>
    <w:rsid w:val="00427262"/>
    <w:rsid w:val="00442859"/>
    <w:rsid w:val="00483E5E"/>
    <w:rsid w:val="00487C44"/>
    <w:rsid w:val="00495BDD"/>
    <w:rsid w:val="00524080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72658"/>
    <w:rsid w:val="008832AC"/>
    <w:rsid w:val="008A2434"/>
    <w:rsid w:val="008B42CE"/>
    <w:rsid w:val="008C0165"/>
    <w:rsid w:val="00983815"/>
    <w:rsid w:val="009A1F14"/>
    <w:rsid w:val="009E1A10"/>
    <w:rsid w:val="009F2021"/>
    <w:rsid w:val="009F6981"/>
    <w:rsid w:val="00A6123C"/>
    <w:rsid w:val="00B065B8"/>
    <w:rsid w:val="00B07F39"/>
    <w:rsid w:val="00B307CA"/>
    <w:rsid w:val="00B414C2"/>
    <w:rsid w:val="00BC4A3D"/>
    <w:rsid w:val="00C15DE0"/>
    <w:rsid w:val="00C47F67"/>
    <w:rsid w:val="00C54D31"/>
    <w:rsid w:val="00C93DBB"/>
    <w:rsid w:val="00CC5F9F"/>
    <w:rsid w:val="00D4427F"/>
    <w:rsid w:val="00D72F8B"/>
    <w:rsid w:val="00E67E6F"/>
    <w:rsid w:val="00EC1CD7"/>
    <w:rsid w:val="00ED0B02"/>
    <w:rsid w:val="00EF0DA5"/>
    <w:rsid w:val="00F05703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93D7-36FC-4616-B198-90A6368A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19</cp:revision>
  <cp:lastPrinted>2015-04-21T12:24:00Z</cp:lastPrinted>
  <dcterms:created xsi:type="dcterms:W3CDTF">2015-04-15T11:13:00Z</dcterms:created>
  <dcterms:modified xsi:type="dcterms:W3CDTF">2016-01-22T11:33:00Z</dcterms:modified>
</cp:coreProperties>
</file>